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91D64" w14:textId="7DDAF9D7" w:rsidR="00FC5860" w:rsidRPr="00BE1BCD" w:rsidRDefault="00954E93">
      <w:pPr>
        <w:spacing w:line="285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8240" behindDoc="0" locked="0" layoutInCell="1" allowOverlap="1" wp14:anchorId="21493072" wp14:editId="0FD4528E">
            <wp:simplePos x="0" y="0"/>
            <wp:positionH relativeFrom="page">
              <wp:posOffset>10820400</wp:posOffset>
            </wp:positionH>
            <wp:positionV relativeFrom="topMargin">
              <wp:posOffset>10528300</wp:posOffset>
            </wp:positionV>
            <wp:extent cx="444500" cy="254000"/>
            <wp:effectExtent l="0" t="0" r="0" b="0"/>
            <wp:wrapNone/>
            <wp:docPr id="100028" name="图片 100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445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</w:t>
      </w:r>
      <w:r>
        <w:rPr>
          <w:rFonts w:ascii="宋体" w:hAnsi="宋体"/>
          <w:b/>
          <w:sz w:val="32"/>
        </w:rPr>
        <w:t>年普通高中学业水平选择性考试（江苏卷）</w:t>
      </w:r>
    </w:p>
    <w:p w14:paraId="14593968" w14:textId="77777777" w:rsidR="00FC5860" w:rsidRPr="00BE1BCD" w:rsidRDefault="00954E93">
      <w:pPr>
        <w:spacing w:line="285" w:lineRule="auto"/>
        <w:jc w:val="center"/>
      </w:pPr>
      <w:r>
        <w:rPr>
          <w:rFonts w:ascii="宋体" w:hAnsi="宋体"/>
          <w:b/>
          <w:sz w:val="32"/>
        </w:rPr>
        <w:t>地理</w:t>
      </w:r>
    </w:p>
    <w:p w14:paraId="3DFC0779" w14:textId="77777777" w:rsidR="00FC5860" w:rsidRPr="00BE1BCD" w:rsidRDefault="00954E93">
      <w:pPr>
        <w:spacing w:line="285" w:lineRule="auto"/>
        <w:jc w:val="center"/>
      </w:pPr>
      <w:r>
        <w:rPr>
          <w:rFonts w:ascii="宋体" w:hAnsi="宋体"/>
          <w:b/>
          <w:sz w:val="24"/>
        </w:rPr>
        <w:t>本试卷满分</w:t>
      </w:r>
      <w:r>
        <w:rPr>
          <w:rFonts w:eastAsia="Times New Roman" w:cs="Times New Roman"/>
          <w:b/>
          <w:sz w:val="24"/>
        </w:rPr>
        <w:t>100</w:t>
      </w:r>
      <w:r>
        <w:rPr>
          <w:rFonts w:ascii="宋体" w:hAnsi="宋体"/>
          <w:b/>
          <w:sz w:val="24"/>
        </w:rPr>
        <w:t>分，考试时间</w:t>
      </w:r>
      <w:r>
        <w:rPr>
          <w:rFonts w:eastAsia="Times New Roman" w:cs="Times New Roman"/>
          <w:b/>
          <w:sz w:val="24"/>
        </w:rPr>
        <w:t>75</w:t>
      </w:r>
      <w:r>
        <w:rPr>
          <w:rFonts w:ascii="宋体" w:hAnsi="宋体"/>
          <w:b/>
          <w:sz w:val="24"/>
        </w:rPr>
        <w:t>分钟。</w:t>
      </w:r>
    </w:p>
    <w:p w14:paraId="08B78BBF" w14:textId="77777777" w:rsidR="00FC5860" w:rsidRPr="00BE1BCD" w:rsidRDefault="00954E93">
      <w:pPr>
        <w:spacing w:line="285" w:lineRule="auto"/>
        <w:jc w:val="left"/>
      </w:pPr>
      <w:r>
        <w:rPr>
          <w:rFonts w:ascii="宋体" w:hAnsi="宋体"/>
          <w:b/>
          <w:sz w:val="24"/>
        </w:rPr>
        <w:t>一、单项选择题：共</w:t>
      </w:r>
      <w:r>
        <w:rPr>
          <w:rFonts w:eastAsia="Times New Roman" w:cs="Times New Roman"/>
          <w:b/>
          <w:sz w:val="24"/>
        </w:rPr>
        <w:t>23</w:t>
      </w:r>
      <w:r>
        <w:rPr>
          <w:rFonts w:ascii="宋体" w:hAnsi="宋体"/>
          <w:b/>
          <w:sz w:val="24"/>
        </w:rPr>
        <w:t>题，每题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46</w:t>
      </w:r>
      <w:r>
        <w:rPr>
          <w:rFonts w:ascii="宋体" w:hAnsi="宋体"/>
          <w:b/>
          <w:sz w:val="24"/>
        </w:rPr>
        <w:t>分。每题只有一个选项最符合题意。</w:t>
      </w:r>
    </w:p>
    <w:p w14:paraId="0478C940" w14:textId="77777777" w:rsidR="00FC5860" w:rsidRPr="00BE1BCD" w:rsidRDefault="00954E93">
      <w:pPr>
        <w:spacing w:line="360" w:lineRule="auto"/>
        <w:ind w:firstLine="420"/>
        <w:jc w:val="left"/>
      </w:pPr>
      <w:r>
        <w:rPr>
          <w:rFonts w:eastAsia="Times New Roman" w:cs="Times New Roman"/>
        </w:rPr>
        <w:t>10</w:t>
      </w:r>
      <w:r>
        <w:rPr>
          <w:rFonts w:ascii="楷体" w:eastAsia="楷体" w:hAnsi="楷体" w:cs="楷体"/>
        </w:rPr>
        <w:t>月中旬，拉萨市（</w:t>
      </w:r>
      <w:r>
        <w:rPr>
          <w:rFonts w:eastAsia="Times New Roman" w:cs="Times New Roman"/>
        </w:rPr>
        <w:t>29</w:t>
      </w:r>
      <w:r>
        <w:rPr>
          <w:rFonts w:ascii="楷体" w:eastAsia="楷体" w:hAnsi="楷体" w:cs="楷体"/>
        </w:rPr>
        <w:t>°</w:t>
      </w:r>
      <w:r>
        <w:rPr>
          <w:rFonts w:eastAsia="Times New Roman" w:cs="Times New Roman"/>
        </w:rPr>
        <w:t>N</w:t>
      </w:r>
      <w:r>
        <w:rPr>
          <w:rFonts w:ascii="楷体" w:eastAsia="楷体" w:hAnsi="楷体" w:cs="楷体"/>
        </w:rPr>
        <w:t>，</w:t>
      </w:r>
      <w:r>
        <w:rPr>
          <w:rFonts w:eastAsia="Times New Roman" w:cs="Times New Roman"/>
        </w:rPr>
        <w:t>91</w:t>
      </w:r>
      <w:r>
        <w:rPr>
          <w:rFonts w:ascii="楷体" w:eastAsia="楷体" w:hAnsi="楷体" w:cs="楷体"/>
        </w:rPr>
        <w:t>°</w:t>
      </w:r>
      <w:r>
        <w:rPr>
          <w:rFonts w:eastAsia="Times New Roman" w:cs="Times New Roman"/>
        </w:rPr>
        <w:t>E</w:t>
      </w:r>
      <w:r>
        <w:rPr>
          <w:rFonts w:ascii="楷体" w:eastAsia="楷体" w:hAnsi="楷体" w:cs="楷体"/>
        </w:rPr>
        <w:t>）某中学学生开展校园地理实践活动，下图为</w:t>
      </w:r>
      <w:r>
        <w:rPr>
          <w:rFonts w:ascii="宋体" w:hAnsi="宋体"/>
        </w:rPr>
        <w:t>“</w:t>
      </w:r>
      <w:r>
        <w:rPr>
          <w:rFonts w:ascii="楷体" w:eastAsia="楷体" w:hAnsi="楷体" w:cs="楷体"/>
        </w:rPr>
        <w:t>北京时间</w:t>
      </w:r>
      <w:r>
        <w:rPr>
          <w:rFonts w:eastAsia="Times New Roman" w:cs="Times New Roman"/>
        </w:rPr>
        <w:t>13</w:t>
      </w:r>
      <w:r>
        <w:rPr>
          <w:rFonts w:ascii="楷体" w:eastAsia="楷体" w:hAnsi="楷体" w:cs="楷体"/>
        </w:rPr>
        <w:t>时</w:t>
      </w:r>
      <w:r>
        <w:rPr>
          <w:rFonts w:eastAsia="Times New Roman" w:cs="Times New Roman"/>
        </w:rPr>
        <w:t>56</w:t>
      </w:r>
      <w:r>
        <w:rPr>
          <w:rFonts w:ascii="楷体" w:eastAsia="楷体" w:hAnsi="楷体" w:cs="楷体"/>
        </w:rPr>
        <w:t>分拍摄的校园照片</w:t>
      </w:r>
      <w:r>
        <w:rPr>
          <w:rFonts w:ascii="宋体" w:hAnsi="宋体"/>
        </w:rPr>
        <w:t>”</w:t>
      </w:r>
      <w:r>
        <w:rPr>
          <w:rFonts w:ascii="楷体" w:eastAsia="楷体" w:hAnsi="楷体" w:cs="楷体"/>
        </w:rPr>
        <w:t>，完成下面小题。</w:t>
      </w:r>
    </w:p>
    <w:p w14:paraId="28CD4BD5" w14:textId="77777777" w:rsidR="00FC5860" w:rsidRPr="00BE1BCD" w:rsidRDefault="00954E93">
      <w:pPr>
        <w:spacing w:line="360" w:lineRule="auto"/>
        <w:jc w:val="left"/>
      </w:pPr>
      <w:r w:rsidRPr="00BE1BCD">
        <w:rPr>
          <w:noProof/>
        </w:rPr>
        <w:drawing>
          <wp:inline distT="0" distB="0" distL="0" distR="0" wp14:anchorId="5F6FD834" wp14:editId="60C63771">
            <wp:extent cx="2362200" cy="2257425"/>
            <wp:effectExtent l="0" t="0" r="0" b="0"/>
            <wp:docPr id="100003" name="图片 10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E2EAF7" w14:textId="77777777" w:rsidR="00FC5860" w:rsidRPr="00BE1BCD" w:rsidRDefault="00954E93">
      <w:pPr>
        <w:spacing w:line="360" w:lineRule="auto"/>
        <w:jc w:val="left"/>
      </w:pPr>
      <w:r>
        <w:t xml:space="preserve">1. </w:t>
      </w:r>
      <w:r>
        <w:rPr>
          <w:rFonts w:ascii="宋体" w:hAnsi="宋体"/>
        </w:rPr>
        <w:t>图中杆影指向最接近（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2A5CF59A" w14:textId="77777777" w:rsidR="00317A58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 w:rsidRPr="00BE1BCD">
        <w:t xml:space="preserve">A. </w:t>
      </w:r>
      <w:r w:rsidR="00954E93">
        <w:rPr>
          <w:rFonts w:ascii="宋体" w:hAnsi="宋体"/>
        </w:rPr>
        <w:t>正北</w:t>
      </w:r>
      <w:r w:rsidRPr="00BE1BCD">
        <w:tab/>
        <w:t xml:space="preserve">B. </w:t>
      </w:r>
      <w:r w:rsidR="00954E93">
        <w:rPr>
          <w:rFonts w:ascii="宋体" w:hAnsi="宋体"/>
        </w:rPr>
        <w:t>正南</w:t>
      </w:r>
      <w:r w:rsidRPr="00BE1BCD">
        <w:tab/>
        <w:t xml:space="preserve">C. </w:t>
      </w:r>
      <w:r w:rsidR="00954E93">
        <w:rPr>
          <w:rFonts w:ascii="宋体" w:hAnsi="宋体"/>
        </w:rPr>
        <w:t>东北</w:t>
      </w:r>
      <w:r w:rsidRPr="00BE1BCD">
        <w:tab/>
        <w:t xml:space="preserve">D. </w:t>
      </w:r>
      <w:r w:rsidR="00954E93">
        <w:rPr>
          <w:rFonts w:ascii="宋体" w:hAnsi="宋体"/>
        </w:rPr>
        <w:t>西北</w:t>
      </w:r>
    </w:p>
    <w:p w14:paraId="4B46CFB0" w14:textId="77777777" w:rsidR="00FC5860" w:rsidRPr="00BE1BCD" w:rsidRDefault="00954E93">
      <w:pPr>
        <w:spacing w:line="360" w:lineRule="auto"/>
        <w:jc w:val="left"/>
      </w:pPr>
      <w:r>
        <w:t xml:space="preserve">2. </w:t>
      </w:r>
      <w:r>
        <w:rPr>
          <w:rFonts w:ascii="宋体" w:hAnsi="宋体"/>
        </w:rPr>
        <w:t>在观测杆影活动中，学生可领悟到与地球运动相关的是学校的（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769A7C5C" w14:textId="77777777" w:rsidR="00317A58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</w:pPr>
      <w:r w:rsidRPr="00BE1BCD">
        <w:t xml:space="preserve">A. </w:t>
      </w:r>
      <w:r w:rsidR="00954E93">
        <w:rPr>
          <w:rFonts w:ascii="宋体" w:hAnsi="宋体"/>
        </w:rPr>
        <w:t>课程设置</w:t>
      </w:r>
      <w:r w:rsidRPr="00BE1BCD">
        <w:tab/>
        <w:t xml:space="preserve">B. </w:t>
      </w:r>
      <w:r w:rsidR="00954E93">
        <w:rPr>
          <w:rFonts w:ascii="宋体" w:hAnsi="宋体"/>
        </w:rPr>
        <w:t>位置选择</w:t>
      </w:r>
      <w:r w:rsidRPr="00BE1BCD">
        <w:tab/>
        <w:t xml:space="preserve">C. </w:t>
      </w:r>
      <w:r w:rsidR="00954E93">
        <w:rPr>
          <w:rFonts w:ascii="宋体" w:hAnsi="宋体"/>
        </w:rPr>
        <w:t>空间规模</w:t>
      </w:r>
      <w:r w:rsidRPr="00BE1BCD">
        <w:tab/>
        <w:t xml:space="preserve">D. </w:t>
      </w:r>
      <w:r w:rsidR="00954E93">
        <w:rPr>
          <w:rFonts w:ascii="宋体" w:hAnsi="宋体"/>
        </w:rPr>
        <w:t>作息时间</w:t>
      </w:r>
    </w:p>
    <w:p w14:paraId="1FA1C511" w14:textId="77777777" w:rsidR="00FC5860" w:rsidRPr="00BE1BCD" w:rsidRDefault="00954E93">
      <w:pPr>
        <w:spacing w:line="360" w:lineRule="auto"/>
        <w:jc w:val="left"/>
      </w:pPr>
      <w:r>
        <w:t xml:space="preserve">3. </w:t>
      </w:r>
      <w:r>
        <w:rPr>
          <w:rFonts w:ascii="宋体" w:hAnsi="宋体"/>
        </w:rPr>
        <w:t>在观察植被过程中，学生发现校园植被比周边山地好，主要是因为（</w:t>
      </w:r>
      <w:r>
        <w:rPr>
          <w:rFonts w:eastAsia="Times New Roman" w:cs="Times New Roman"/>
        </w:rPr>
        <w:t xml:space="preserve">   </w:t>
      </w:r>
      <w:r>
        <w:rPr>
          <w:rFonts w:ascii="宋体" w:hAnsi="宋体"/>
        </w:rPr>
        <w:t>）</w:t>
      </w:r>
    </w:p>
    <w:p w14:paraId="1C11E988" w14:textId="77777777" w:rsidR="00317A58" w:rsidRDefault="00FC586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A. </w:t>
      </w:r>
      <w:r w:rsidR="00954E93">
        <w:rPr>
          <w:rFonts w:ascii="宋体" w:hAnsi="宋体"/>
        </w:rPr>
        <w:t>土壤肥力的提高</w:t>
      </w:r>
      <w:r w:rsidRPr="00BE1BCD">
        <w:tab/>
        <w:t xml:space="preserve">B. </w:t>
      </w:r>
      <w:r w:rsidR="00954E93">
        <w:rPr>
          <w:rFonts w:ascii="宋体" w:hAnsi="宋体"/>
        </w:rPr>
        <w:t>局地气候的改善</w:t>
      </w:r>
      <w:r w:rsidRPr="00BE1BCD">
        <w:tab/>
        <w:t xml:space="preserve">C. </w:t>
      </w:r>
      <w:r w:rsidR="00954E93">
        <w:rPr>
          <w:rFonts w:ascii="宋体" w:hAnsi="宋体"/>
        </w:rPr>
        <w:t>灌溉用水的保障</w:t>
      </w:r>
      <w:r w:rsidRPr="00BE1BCD">
        <w:tab/>
        <w:t xml:space="preserve">D. </w:t>
      </w:r>
      <w:r w:rsidR="00954E93">
        <w:rPr>
          <w:rFonts w:ascii="宋体" w:hAnsi="宋体"/>
        </w:rPr>
        <w:t>局部地形的改变</w:t>
      </w:r>
    </w:p>
    <w:p w14:paraId="7638BD67" w14:textId="77777777" w:rsidR="00317A58" w:rsidRDefault="00954E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加拿大最东端的斯比尔角被称为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加拿大东极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，是圣约翰斯市热门旅游景点，下图为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圣约翰斯市旅游简图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。完成下面小题。</w:t>
      </w:r>
    </w:p>
    <w:p w14:paraId="79C6FEB1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2F49C577" wp14:editId="3C2930C9">
            <wp:extent cx="2362200" cy="1847850"/>
            <wp:effectExtent l="0" t="0" r="0" b="0"/>
            <wp:docPr id="100005" name="图片 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25CA41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该图的指向标为（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ECD067D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3415E99" wp14:editId="4DD6C350">
            <wp:extent cx="4705350" cy="1066800"/>
            <wp:effectExtent l="0" t="0" r="0" b="0"/>
            <wp:docPr id="100007" name="图片 100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7053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7ED24E" w14:textId="77777777" w:rsidR="00317A58" w:rsidRDefault="00954E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A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B</w:t>
      </w:r>
      <w:r>
        <w:rPr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C</w:t>
      </w:r>
      <w:r>
        <w:rPr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D</w:t>
      </w:r>
    </w:p>
    <w:p w14:paraId="6E5705ED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该图采用</w:t>
      </w:r>
      <w:r>
        <w:rPr>
          <w:rFonts w:ascii="宋体" w:hAnsi="宋体"/>
          <w:noProof/>
          <w:color w:val="000000"/>
        </w:rPr>
        <w:drawing>
          <wp:inline distT="0" distB="0" distL="0" distR="0" wp14:anchorId="430FA296" wp14:editId="49DD3C1E">
            <wp:extent cx="133350" cy="177800"/>
            <wp:effectExtent l="0" t="0" r="0" b="0"/>
            <wp:docPr id="100033" name="图片 1000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指向方式，能够（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B8B3E39" w14:textId="77777777" w:rsidR="00317A58" w:rsidRDefault="00954E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满足显示城市范围需要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便于确定景点相对位置</w:t>
      </w:r>
    </w:p>
    <w:p w14:paraId="47DEE48D" w14:textId="77777777" w:rsidR="00317A58" w:rsidRDefault="00954E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增加测量距离的准确性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提高交通线路的可读性</w:t>
      </w:r>
    </w:p>
    <w:p w14:paraId="4CF2D8E0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该类地图的设计方式常见于（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B76F98C" w14:textId="77777777" w:rsidR="00317A58" w:rsidRDefault="00954E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房产区位图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世界航海图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国家政区图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气象预报图</w:t>
      </w:r>
    </w:p>
    <w:p w14:paraId="3E50201D" w14:textId="77777777" w:rsidR="00317A58" w:rsidRDefault="00954E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由于植物适应荒漠环境的方式不同，共根系差别很大，下图为“荒漠土壤剖面及植物根系示意图”，完成下面小题。</w:t>
      </w:r>
    </w:p>
    <w:p w14:paraId="22ECD17A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7582CC1" wp14:editId="1CB9CA7F">
            <wp:extent cx="2333625" cy="1885950"/>
            <wp:effectExtent l="0" t="0" r="0" b="0"/>
            <wp:docPr id="100009" name="图片 100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33625" cy="1885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D0019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在图示荒漠土壤中，可溶性盐积聚的过程是（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4369A390" w14:textId="77777777" w:rsidR="00317A58" w:rsidRDefault="00954E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生物作用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淀积作用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风积作用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溶蚀作用</w:t>
      </w:r>
    </w:p>
    <w:p w14:paraId="46B4951E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根系较小的肉质植物，不同于其他荒漠植物适应环境的方式是（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8C97685" w14:textId="77777777" w:rsidR="00317A58" w:rsidRDefault="00954E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营养器官储水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枝叶演化成刺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干旱季节休眠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叶片具蜡质层</w:t>
      </w:r>
    </w:p>
    <w:p w14:paraId="03D47EE6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与阿拉伯半岛的荒漠植物相比，我国塔里木盆地的荒漠植物更（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A14E1F9" w14:textId="77777777" w:rsidR="00317A58" w:rsidRDefault="00954E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耐盐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耐旱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耐寒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耐热</w:t>
      </w:r>
    </w:p>
    <w:p w14:paraId="5E2DCB92" w14:textId="77777777" w:rsidR="00317A58" w:rsidRDefault="00954E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下图为某地地质剖面图，据此完成下面小题。</w:t>
      </w:r>
    </w:p>
    <w:p w14:paraId="1DE79022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1E9A3092" wp14:editId="1C4620FD">
            <wp:extent cx="3038475" cy="1981200"/>
            <wp:effectExtent l="0" t="0" r="0" b="0"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98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913800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推测该地最新的地质事件是（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791E350F" w14:textId="77777777" w:rsidR="00317A58" w:rsidRDefault="00954E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岩层褶皱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地壳沉降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岩层断裂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岩浆侵入</w:t>
      </w:r>
    </w:p>
    <w:p w14:paraId="16E67138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图中背斜顶部容易被侵蚀的证据是其顶部（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2192330F" w14:textId="77777777" w:rsidR="00317A58" w:rsidRDefault="00954E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更老地层曾出露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存在断层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存在岩浆的侵入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岩性差异</w:t>
      </w:r>
    </w:p>
    <w:p w14:paraId="00BD8565" w14:textId="77777777" w:rsidR="00317A58" w:rsidRDefault="00954E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粮食安全是我国国家安全的重要组成部分、耕地资源是粮食安全的基础。近年来我国耕地面积发生了变化，并呈现出区域差异。下图为</w:t>
      </w:r>
      <w:r>
        <w:rPr>
          <w:rFonts w:eastAsia="Times New Roman" w:cs="Times New Roman"/>
          <w:color w:val="000000"/>
        </w:rPr>
        <w:t>2009</w:t>
      </w:r>
      <w:r>
        <w:rPr>
          <w:rFonts w:ascii="楷体" w:eastAsia="楷体" w:hAnsi="楷体" w:cs="楷体"/>
          <w:color w:val="000000"/>
        </w:rPr>
        <w:t>—</w:t>
      </w:r>
      <w:r>
        <w:rPr>
          <w:rFonts w:eastAsia="Times New Roman" w:cs="Times New Roman"/>
          <w:color w:val="000000"/>
        </w:rPr>
        <w:t>2019</w:t>
      </w:r>
      <w:r>
        <w:rPr>
          <w:rFonts w:ascii="楷体" w:eastAsia="楷体" w:hAnsi="楷体" w:cs="楷体"/>
          <w:color w:val="000000"/>
        </w:rPr>
        <w:t>年我国省级行政区耕地面积变化图。据此完成下面小题。</w:t>
      </w:r>
    </w:p>
    <w:p w14:paraId="01B316FD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496C5C7B" wp14:editId="5D24BAF7">
            <wp:extent cx="3362325" cy="2476500"/>
            <wp:effectExtent l="0" t="0" r="0" b="0"/>
            <wp:docPr id="100013" name="图片 100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3362325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858A3A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eastAsia="Times New Roman" w:cs="Times New Roman"/>
          <w:color w:val="000000"/>
        </w:rPr>
        <w:t>2009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color w:val="000000"/>
        </w:rPr>
        <w:t>2019</w:t>
      </w:r>
      <w:r>
        <w:rPr>
          <w:rFonts w:ascii="宋体" w:hAnsi="宋体"/>
          <w:color w:val="000000"/>
        </w:rPr>
        <w:t>年我国省级行政区耕地面积的增加与减少，呈现明显的区域差异格局，大致的划分界线是（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7414BFC0" w14:textId="77777777" w:rsidR="00317A58" w:rsidRDefault="00954E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110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E</w:t>
      </w:r>
      <w:r>
        <w:rPr>
          <w:rFonts w:ascii="宋体" w:hAnsi="宋体"/>
          <w:color w:val="000000"/>
        </w:rPr>
        <w:t>经线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40</w:t>
      </w:r>
      <w:r>
        <w:rPr>
          <w:rFonts w:ascii="宋体" w:hAnsi="宋体"/>
          <w:color w:val="000000"/>
        </w:rPr>
        <w:t>°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纬线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胡焕庸线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秦岭—淮河一线</w:t>
      </w:r>
    </w:p>
    <w:p w14:paraId="5B0D10D3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eastAsia="Times New Roman" w:cs="Times New Roman"/>
          <w:color w:val="000000"/>
        </w:rPr>
        <w:t>2009</w:t>
      </w:r>
      <w:r>
        <w:rPr>
          <w:rFonts w:ascii="宋体" w:hAnsi="宋体"/>
          <w:color w:val="000000"/>
        </w:rPr>
        <w:t>—</w:t>
      </w:r>
      <w:r>
        <w:rPr>
          <w:rFonts w:eastAsia="Times New Roman" w:cs="Times New Roman"/>
          <w:color w:val="000000"/>
        </w:rPr>
        <w:t>2019</w:t>
      </w:r>
      <w:r>
        <w:rPr>
          <w:rFonts w:ascii="宋体" w:hAnsi="宋体"/>
          <w:color w:val="000000"/>
        </w:rPr>
        <w:t>年我国部分省级行政区耕地增加，其主要驱动力是（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F4B5408" w14:textId="77777777" w:rsidR="00317A58" w:rsidRDefault="00954E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作物品种改良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人口数量增多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具有规模效益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交通区位改善</w:t>
      </w:r>
    </w:p>
    <w:p w14:paraId="27E38788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为保障我国粮食安全和生态安全，符合因地施策的是（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5ED330F7" w14:textId="77777777" w:rsidR="00317A58" w:rsidRDefault="00954E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东南地区严格保护耕地，复垦城镇建设用地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西北地区积极开采地下水，增加可灌溉面积</w:t>
      </w:r>
    </w:p>
    <w:p w14:paraId="670A5549" w14:textId="77777777" w:rsidR="00317A58" w:rsidRDefault="00954E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东北地区加大湿地开发力度、增加耕地供给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西南地区鼓励撂荒地复垦，遏制耕地非粮化</w:t>
      </w:r>
    </w:p>
    <w:p w14:paraId="1276BE65" w14:textId="77777777" w:rsidR="00317A58" w:rsidRDefault="00954E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亚洲中部高大山脉周边分布着许多国家的首都。下图为亚洲局部地区卫星影像图，据此完成下面小题。</w:t>
      </w:r>
    </w:p>
    <w:p w14:paraId="7072D93E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65257F3A" wp14:editId="6A8ECAAE">
            <wp:extent cx="2571750" cy="2562225"/>
            <wp:effectExtent l="0" t="0" r="0" b="0"/>
            <wp:docPr id="100015" name="图片 100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571750" cy="2562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051457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图中城市发展初期选址在山麓地带，考虑的首要条件是（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3AEA07FA" w14:textId="77777777" w:rsidR="00317A58" w:rsidRDefault="00954E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充足的光热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稳定的水源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丰富的矿产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肥沃的土壤</w:t>
      </w:r>
    </w:p>
    <w:p w14:paraId="3F40C868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图中城市依托地形地势发展成为国家政治中心，主要考虑（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335500C5" w14:textId="77777777" w:rsidR="00317A58" w:rsidRDefault="00954E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安全防御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城市历史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农业条件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人口数量</w:t>
      </w:r>
    </w:p>
    <w:p w14:paraId="5F0B47E0" w14:textId="77777777" w:rsidR="00317A58" w:rsidRDefault="00954E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老年人口抚养比是指一个地区老年人口数与劳动年龄人口数的比值。下图为</w:t>
      </w:r>
      <w:r>
        <w:rPr>
          <w:rFonts w:ascii="宋体" w:hAnsi="宋体"/>
          <w:color w:val="000000"/>
        </w:rPr>
        <w:t>“</w:t>
      </w:r>
      <w:r>
        <w:rPr>
          <w:rFonts w:eastAsia="Times New Roman" w:cs="Times New Roman"/>
          <w:color w:val="000000"/>
        </w:rPr>
        <w:t>2022</w:t>
      </w:r>
      <w:r>
        <w:rPr>
          <w:rFonts w:ascii="楷体" w:eastAsia="楷体" w:hAnsi="楷体" w:cs="楷体"/>
          <w:color w:val="000000"/>
        </w:rPr>
        <w:t>年我国部分省级行政区老年人口抚养比与人均收入的关系图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。完成下面小题。</w:t>
      </w:r>
    </w:p>
    <w:p w14:paraId="4ED15310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30263A9" wp14:editId="0DB5F3D5">
            <wp:extent cx="2667000" cy="1924050"/>
            <wp:effectExtent l="0" t="0" r="0" b="0"/>
            <wp:docPr id="100017" name="图片 1000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66700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C5BDC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图中表示江苏的是（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0B0CF8F7" w14:textId="77777777" w:rsidR="00317A58" w:rsidRDefault="00954E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noProof/>
          <w:color w:val="000000"/>
          <w:position w:val="-22"/>
        </w:rPr>
        <w:drawing>
          <wp:inline distT="0" distB="0" distL="0" distR="0" wp14:anchorId="1857F705" wp14:editId="01AC2D9F">
            <wp:extent cx="31750" cy="88900"/>
            <wp:effectExtent l="0" t="0" r="0" b="0"/>
            <wp:docPr id="100031" name="图片 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甲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乙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丙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丁</w:t>
      </w:r>
    </w:p>
    <w:p w14:paraId="0BB7E0BE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我国人均收入高的地区老年人口抚养比差异明显，其主要影响因素是（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283597AA" w14:textId="77777777" w:rsidR="00317A58" w:rsidRDefault="00954E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医疗卫生条件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人口迁移量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人口预期寿命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人口出生率</w:t>
      </w:r>
    </w:p>
    <w:p w14:paraId="2B0828E7" w14:textId="77777777" w:rsidR="00317A58" w:rsidRDefault="00954E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东南亚农业种植结构受多种因素影响，不同历史时期发生了多次变化，下表为“东南亚不同历史时期种植的主要农作物”。完成下面小题。</w:t>
      </w:r>
    </w:p>
    <w:tbl>
      <w:tblPr>
        <w:tblW w:w="79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2145"/>
        <w:gridCol w:w="5790"/>
      </w:tblGrid>
      <w:tr w:rsidR="00317A58" w14:paraId="2B30DD41" w14:textId="77777777"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315FF14" w14:textId="77777777" w:rsidR="00317A58" w:rsidRDefault="00954E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历史时期</w:t>
            </w:r>
          </w:p>
        </w:tc>
        <w:tc>
          <w:tcPr>
            <w:tcW w:w="5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DE7A850" w14:textId="77777777" w:rsidR="00317A58" w:rsidRDefault="00954E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主要农作物</w:t>
            </w:r>
          </w:p>
        </w:tc>
      </w:tr>
      <w:tr w:rsidR="00317A58" w14:paraId="201C29A7" w14:textId="77777777"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0CA4D870" w14:textId="77777777" w:rsidR="00317A58" w:rsidRDefault="00954E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</w:t>
            </w:r>
            <w:r>
              <w:rPr>
                <w:rFonts w:ascii="楷体" w:eastAsia="楷体" w:hAnsi="楷体" w:cs="楷体"/>
                <w:color w:val="000000"/>
              </w:rPr>
              <w:t>世纪以前</w:t>
            </w:r>
          </w:p>
        </w:tc>
        <w:tc>
          <w:tcPr>
            <w:tcW w:w="5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B1001A7" w14:textId="77777777" w:rsidR="00317A58" w:rsidRDefault="00954E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水稻和甘蔗</w:t>
            </w:r>
          </w:p>
        </w:tc>
      </w:tr>
      <w:tr w:rsidR="00317A58" w14:paraId="66EEF967" w14:textId="77777777"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376B82B" w14:textId="77777777" w:rsidR="00317A58" w:rsidRDefault="00954E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16</w:t>
            </w:r>
            <w:r>
              <w:rPr>
                <w:rFonts w:ascii="楷体" w:eastAsia="楷体" w:hAnsi="楷体" w:cs="楷体"/>
                <w:color w:val="000000"/>
              </w:rPr>
              <w:t>世纪至</w:t>
            </w:r>
            <w:r>
              <w:rPr>
                <w:rFonts w:eastAsia="Times New Roman" w:cs="Times New Roman"/>
                <w:color w:val="000000"/>
              </w:rPr>
              <w:t>19</w:t>
            </w:r>
            <w:r>
              <w:rPr>
                <w:rFonts w:ascii="楷体" w:eastAsia="楷体" w:hAnsi="楷体" w:cs="楷体"/>
                <w:color w:val="000000"/>
              </w:rPr>
              <w:t>世纪初</w:t>
            </w:r>
          </w:p>
        </w:tc>
        <w:tc>
          <w:tcPr>
            <w:tcW w:w="5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C8434EB" w14:textId="77777777" w:rsidR="00317A58" w:rsidRDefault="00954E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丁香、胡椒、烟竿、咖啡、水稻、甘蔗等</w:t>
            </w:r>
          </w:p>
        </w:tc>
      </w:tr>
      <w:tr w:rsidR="00317A58" w14:paraId="649DC115" w14:textId="77777777"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8E2E30B" w14:textId="77777777" w:rsidR="00317A58" w:rsidRDefault="00954E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19</w:t>
            </w:r>
            <w:r>
              <w:rPr>
                <w:rFonts w:ascii="楷体" w:eastAsia="楷体" w:hAnsi="楷体" w:cs="楷体"/>
                <w:color w:val="000000"/>
              </w:rPr>
              <w:t>世纪中叶至</w:t>
            </w:r>
            <w:r>
              <w:rPr>
                <w:rFonts w:eastAsia="Times New Roman" w:cs="Times New Roman"/>
                <w:color w:val="000000"/>
              </w:rPr>
              <w:t>20</w:t>
            </w:r>
            <w:r>
              <w:rPr>
                <w:rFonts w:ascii="楷体" w:eastAsia="楷体" w:hAnsi="楷体" w:cs="楷体"/>
                <w:color w:val="000000"/>
              </w:rPr>
              <w:t>世纪初</w:t>
            </w:r>
          </w:p>
        </w:tc>
        <w:tc>
          <w:tcPr>
            <w:tcW w:w="5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32D1C27" w14:textId="77777777" w:rsidR="00317A58" w:rsidRDefault="00954E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橡胶、油棕、咖啡、水稻、甘蔗等</w:t>
            </w:r>
          </w:p>
        </w:tc>
      </w:tr>
      <w:tr w:rsidR="00317A58" w14:paraId="3D49335F" w14:textId="77777777">
        <w:tc>
          <w:tcPr>
            <w:tcW w:w="21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13053652" w14:textId="77777777" w:rsidR="00317A58" w:rsidRDefault="00954E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20</w:t>
            </w:r>
            <w:r>
              <w:rPr>
                <w:rFonts w:ascii="楷体" w:eastAsia="楷体" w:hAnsi="楷体" w:cs="楷体"/>
                <w:color w:val="000000"/>
              </w:rPr>
              <w:t>世纪中叶以后</w:t>
            </w:r>
          </w:p>
        </w:tc>
        <w:tc>
          <w:tcPr>
            <w:tcW w:w="57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A01ACA6" w14:textId="77777777" w:rsidR="00317A58" w:rsidRDefault="00954E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橡胶、油棕、蕉麻、可可、咖啡、水稻、甘蔗等</w:t>
            </w:r>
          </w:p>
        </w:tc>
      </w:tr>
    </w:tbl>
    <w:p w14:paraId="3C449FE6" w14:textId="77777777" w:rsidR="00317A58" w:rsidRDefault="00317A58">
      <w:pPr>
        <w:spacing w:line="360" w:lineRule="auto"/>
        <w:jc w:val="left"/>
        <w:textAlignment w:val="center"/>
        <w:rPr>
          <w:color w:val="000000"/>
        </w:rPr>
      </w:pPr>
    </w:p>
    <w:p w14:paraId="2FB712F9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世纪，东南亚农业种植结构的转变，是因为（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1D5F9AD3" w14:textId="77777777" w:rsidR="00317A58" w:rsidRDefault="00954E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土地支配权的变化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国家间的互惠贸易</w:t>
      </w:r>
    </w:p>
    <w:p w14:paraId="77C34540" w14:textId="77777777" w:rsidR="00317A58" w:rsidRDefault="00954E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本地消费市场扩大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劳动生产效率提高</w:t>
      </w:r>
    </w:p>
    <w:p w14:paraId="194495B9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eastAsia="Times New Roman" w:cs="Times New Roman"/>
          <w:color w:val="000000"/>
        </w:rPr>
        <w:t>19</w:t>
      </w:r>
      <w:r>
        <w:rPr>
          <w:rFonts w:ascii="宋体" w:hAnsi="宋体"/>
          <w:color w:val="000000"/>
        </w:rPr>
        <w:t>世纪中叶，东南亚农业种植结构再次发生变化，与其直接相关</w:t>
      </w:r>
      <w:r>
        <w:rPr>
          <w:rFonts w:ascii="宋体" w:hAnsi="宋体"/>
          <w:noProof/>
          <w:color w:val="000000"/>
        </w:rPr>
        <w:drawing>
          <wp:inline distT="0" distB="0" distL="0" distR="0" wp14:anchorId="455EE615" wp14:editId="64AD8BBF">
            <wp:extent cx="133350" cy="177800"/>
            <wp:effectExtent l="0" t="0" r="0" b="0"/>
            <wp:docPr id="100035" name="图片 1000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产业是（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77309C37" w14:textId="77777777" w:rsidR="00317A58" w:rsidRDefault="00954E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纺织加工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钢铁冶炼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汽车制造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煤炭开采</w:t>
      </w:r>
    </w:p>
    <w:p w14:paraId="1EE5EB29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近几十年，东南亚油棕种植面积扩大，能够解释该现象的概念是（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757B3D10" w14:textId="77777777" w:rsidR="00317A58" w:rsidRDefault="00954E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国际贸易区域化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区域环境差异化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农业生产机械化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全球经济一体化</w:t>
      </w:r>
    </w:p>
    <w:p w14:paraId="13E27F5C" w14:textId="77777777" w:rsidR="00317A58" w:rsidRDefault="00954E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乡村聚落的选址与人们的生产生活紧密相关，下图为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我国西北某地乡村聚落四种模式图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，完成下面小题。</w:t>
      </w:r>
    </w:p>
    <w:p w14:paraId="733C994D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70D7003E" wp14:editId="03312CE9">
            <wp:extent cx="3867150" cy="1152525"/>
            <wp:effectExtent l="0" t="0" r="0" b="0"/>
            <wp:docPr id="100019" name="图片 100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D2179B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/>
          <w:color w:val="000000"/>
        </w:rPr>
        <w:t>四种模式中，农业活动空间范围最大的是（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74E0803A" w14:textId="77777777" w:rsidR="00317A58" w:rsidRDefault="00954E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①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②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③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④</w:t>
      </w:r>
    </w:p>
    <w:p w14:paraId="63A43910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/>
          <w:color w:val="000000"/>
        </w:rPr>
        <w:t>提炼四种模式的主要依据是（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14:paraId="2E2E0EBA" w14:textId="77777777" w:rsidR="00317A58" w:rsidRDefault="00954E9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作物品种</w:t>
      </w:r>
      <w:r>
        <w:rPr>
          <w:color w:val="000000"/>
        </w:rPr>
        <w:tab/>
        <w:t xml:space="preserve">B. </w:t>
      </w:r>
      <w:r>
        <w:rPr>
          <w:rFonts w:ascii="宋体" w:hAnsi="宋体"/>
          <w:color w:val="000000"/>
        </w:rPr>
        <w:t>河流分布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土地利用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村庄规模</w:t>
      </w:r>
    </w:p>
    <w:p w14:paraId="37F7CF56" w14:textId="77777777" w:rsidR="00317A58" w:rsidRDefault="00954E93">
      <w:pPr>
        <w:spacing w:line="285" w:lineRule="auto"/>
        <w:jc w:val="left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二、非选择题：共</w:t>
      </w:r>
      <w:r>
        <w:rPr>
          <w:rFonts w:eastAsia="Times New Roman" w:cs="Times New Roman"/>
          <w:b/>
          <w:color w:val="000000"/>
          <w:sz w:val="24"/>
        </w:rPr>
        <w:t>3</w:t>
      </w:r>
      <w:r>
        <w:rPr>
          <w:rFonts w:ascii="宋体" w:hAnsi="宋体"/>
          <w:b/>
          <w:color w:val="000000"/>
          <w:sz w:val="24"/>
        </w:rPr>
        <w:t>题，共</w:t>
      </w:r>
      <w:r>
        <w:rPr>
          <w:rFonts w:eastAsia="Times New Roman" w:cs="Times New Roman"/>
          <w:b/>
          <w:color w:val="000000"/>
          <w:sz w:val="24"/>
        </w:rPr>
        <w:t>54</w:t>
      </w:r>
      <w:r>
        <w:rPr>
          <w:rFonts w:ascii="宋体" w:hAnsi="宋体"/>
          <w:b/>
          <w:color w:val="000000"/>
          <w:sz w:val="24"/>
        </w:rPr>
        <w:t>分。</w:t>
      </w:r>
    </w:p>
    <w:p w14:paraId="38D9E0F2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阅读材料，回答下列问题。</w:t>
      </w:r>
    </w:p>
    <w:p w14:paraId="1997816D" w14:textId="77777777" w:rsidR="00317A58" w:rsidRDefault="00954E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材料一:济州岛位于朝鲜半岛以南</w:t>
      </w:r>
      <w:r>
        <w:rPr>
          <w:rFonts w:eastAsia="Times New Roman" w:cs="Times New Roman"/>
          <w:color w:val="000000"/>
        </w:rPr>
        <w:t>82</w:t>
      </w:r>
      <w:r>
        <w:rPr>
          <w:rFonts w:ascii="楷体" w:eastAsia="楷体" w:hAnsi="楷体" w:cs="楷体"/>
          <w:color w:val="000000"/>
        </w:rPr>
        <w:t>.</w:t>
      </w:r>
      <w:r>
        <w:rPr>
          <w:rFonts w:eastAsia="Times New Roman" w:cs="Times New Roman"/>
          <w:color w:val="000000"/>
        </w:rPr>
        <w:t>8km</w:t>
      </w:r>
      <w:r>
        <w:rPr>
          <w:rFonts w:ascii="楷体" w:eastAsia="楷体" w:hAnsi="楷体" w:cs="楷体"/>
          <w:color w:val="000000"/>
        </w:rPr>
        <w:t>，纬度位置与我国秦岭—淮河一线相近，最高峰汉拿山海拔</w:t>
      </w:r>
      <w:r>
        <w:rPr>
          <w:rFonts w:eastAsia="Times New Roman" w:cs="Times New Roman"/>
          <w:color w:val="000000"/>
        </w:rPr>
        <w:t>1950m</w:t>
      </w:r>
      <w:r>
        <w:rPr>
          <w:rFonts w:ascii="楷体" w:eastAsia="楷体" w:hAnsi="楷体" w:cs="楷体"/>
          <w:color w:val="000000"/>
        </w:rPr>
        <w:t>，该岛最低月均温为</w:t>
      </w:r>
      <w:r>
        <w:rPr>
          <w:rFonts w:eastAsia="Times New Roman" w:cs="Times New Roman"/>
          <w:color w:val="000000"/>
        </w:rPr>
        <w:t>5</w:t>
      </w:r>
      <w:r>
        <w:rPr>
          <w:rFonts w:ascii="楷体" w:eastAsia="楷体" w:hAnsi="楷体" w:cs="楷体"/>
          <w:color w:val="000000"/>
        </w:rPr>
        <w:t>.</w:t>
      </w:r>
      <w:r>
        <w:rPr>
          <w:rFonts w:eastAsia="Times New Roman" w:cs="Times New Roman"/>
          <w:color w:val="000000"/>
        </w:rPr>
        <w:t>1</w:t>
      </w:r>
      <w:r>
        <w:rPr>
          <w:rFonts w:ascii="楷体" w:eastAsia="楷体" w:hAnsi="楷体" w:cs="楷体"/>
          <w:color w:val="000000"/>
        </w:rPr>
        <w:t>℃，出现在</w:t>
      </w:r>
      <w:r>
        <w:rPr>
          <w:rFonts w:eastAsia="Times New Roman" w:cs="Times New Roman"/>
          <w:color w:val="000000"/>
        </w:rPr>
        <w:t>1</w:t>
      </w:r>
      <w:r>
        <w:rPr>
          <w:rFonts w:ascii="楷体" w:eastAsia="楷体" w:hAnsi="楷体" w:cs="楷体"/>
          <w:color w:val="000000"/>
        </w:rPr>
        <w:t>月，最高月均温为</w:t>
      </w:r>
      <w:r>
        <w:rPr>
          <w:rFonts w:eastAsia="Times New Roman" w:cs="Times New Roman"/>
          <w:color w:val="000000"/>
        </w:rPr>
        <w:t>25</w:t>
      </w:r>
      <w:r>
        <w:rPr>
          <w:rFonts w:ascii="楷体" w:eastAsia="楷体" w:hAnsi="楷体" w:cs="楷体"/>
          <w:color w:val="000000"/>
        </w:rPr>
        <w:t>.</w:t>
      </w:r>
      <w:r>
        <w:rPr>
          <w:rFonts w:eastAsia="Times New Roman" w:cs="Times New Roman"/>
          <w:color w:val="000000"/>
        </w:rPr>
        <w:t>4</w:t>
      </w:r>
      <w:r>
        <w:rPr>
          <w:rFonts w:ascii="楷体" w:eastAsia="楷体" w:hAnsi="楷体" w:cs="楷体"/>
          <w:color w:val="000000"/>
        </w:rPr>
        <w:t>℃，出现在</w:t>
      </w:r>
      <w:r>
        <w:rPr>
          <w:rFonts w:eastAsia="Times New Roman" w:cs="Times New Roman"/>
          <w:color w:val="000000"/>
        </w:rPr>
        <w:t>8</w:t>
      </w:r>
      <w:r>
        <w:rPr>
          <w:rFonts w:ascii="楷体" w:eastAsia="楷体" w:hAnsi="楷体" w:cs="楷体"/>
          <w:color w:val="000000"/>
        </w:rPr>
        <w:t>月。</w:t>
      </w:r>
    </w:p>
    <w:p w14:paraId="644D0072" w14:textId="77777777" w:rsidR="00317A58" w:rsidRDefault="00954E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材料二:图</w:t>
      </w:r>
      <w:r>
        <w:rPr>
          <w:rFonts w:eastAsia="Times New Roman" w:cs="Times New Roman"/>
          <w:color w:val="000000"/>
        </w:rPr>
        <w:t>1</w:t>
      </w:r>
      <w:r>
        <w:rPr>
          <w:rFonts w:ascii="楷体" w:eastAsia="楷体" w:hAnsi="楷体" w:cs="楷体"/>
          <w:color w:val="000000"/>
        </w:rPr>
        <w:t>为“济州岛位置及周边洋流分布示意图”，图</w:t>
      </w:r>
      <w:r>
        <w:rPr>
          <w:rFonts w:eastAsia="Times New Roman" w:cs="Times New Roman"/>
          <w:color w:val="000000"/>
        </w:rPr>
        <w:t>2</w:t>
      </w:r>
      <w:r>
        <w:rPr>
          <w:rFonts w:ascii="楷体" w:eastAsia="楷体" w:hAnsi="楷体" w:cs="楷体"/>
          <w:color w:val="000000"/>
        </w:rPr>
        <w:t>为“济州岛地形及年降水量分布图”。</w:t>
      </w:r>
    </w:p>
    <w:p w14:paraId="79170B0C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109486CB" wp14:editId="2D03CA4E">
            <wp:extent cx="4686300" cy="2647950"/>
            <wp:effectExtent l="0" t="0" r="0" b="0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686300" cy="2647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0FD24F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描述济州岛的年降水量空间分布特征。</w:t>
      </w:r>
    </w:p>
    <w:p w14:paraId="6E03D96B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写出济州岛年降水量空间分布格局的影响因素。</w:t>
      </w:r>
    </w:p>
    <w:p w14:paraId="24B8CAF8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分析暖流对济州岛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月气温的影响，并写出参照依据。</w:t>
      </w:r>
    </w:p>
    <w:p w14:paraId="604F518D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4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济州岛最低月均温和最高月均温分别出现在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月和</w:t>
      </w:r>
      <w:r>
        <w:rPr>
          <w:rFonts w:eastAsia="Times New Roman" w:cs="Times New Roman"/>
          <w:color w:val="000000"/>
        </w:rPr>
        <w:t>8</w:t>
      </w:r>
      <w:r>
        <w:rPr>
          <w:rFonts w:ascii="宋体" w:hAnsi="宋体"/>
          <w:color w:val="000000"/>
        </w:rPr>
        <w:t>月，与北半球大陆和海洋并不完全相同，请解释其原因。</w:t>
      </w:r>
    </w:p>
    <w:p w14:paraId="5DF876AC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阅读材料，回答下列问题。</w:t>
      </w:r>
    </w:p>
    <w:p w14:paraId="1FED8645" w14:textId="77777777" w:rsidR="00317A58" w:rsidRDefault="00954E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材料一</w:t>
      </w:r>
      <w:r>
        <w:rPr>
          <w:rFonts w:ascii="宋体" w:hAnsi="宋体"/>
          <w:color w:val="000000"/>
        </w:rPr>
        <w:t>：</w:t>
      </w:r>
      <w:r>
        <w:rPr>
          <w:rFonts w:ascii="楷体" w:eastAsia="楷体" w:hAnsi="楷体" w:cs="楷体"/>
          <w:color w:val="000000"/>
        </w:rPr>
        <w:t>在国务院批复的《江苏省国土空间规划（</w:t>
      </w:r>
      <w:r>
        <w:rPr>
          <w:rFonts w:eastAsia="Times New Roman" w:cs="Times New Roman"/>
          <w:color w:val="000000"/>
        </w:rPr>
        <w:t>2021</w:t>
      </w:r>
      <w:r>
        <w:rPr>
          <w:rFonts w:ascii="楷体" w:eastAsia="楷体" w:hAnsi="楷体" w:cs="楷体"/>
          <w:color w:val="000000"/>
        </w:rPr>
        <w:t>-</w:t>
      </w:r>
      <w:r>
        <w:rPr>
          <w:rFonts w:eastAsia="Times New Roman" w:cs="Times New Roman"/>
          <w:color w:val="000000"/>
        </w:rPr>
        <w:t>2035</w:t>
      </w:r>
      <w:r>
        <w:rPr>
          <w:rFonts w:ascii="楷体" w:eastAsia="楷体" w:hAnsi="楷体" w:cs="楷体"/>
          <w:color w:val="000000"/>
        </w:rPr>
        <w:t>年）》中，提出南京都市圈、苏锡常都市圈和淮海经济区（简称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两圈一区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）建设，推动全省高质量发展。</w:t>
      </w:r>
    </w:p>
    <w:p w14:paraId="7644BA1D" w14:textId="77777777" w:rsidR="00317A58" w:rsidRDefault="00954E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材料二</w:t>
      </w:r>
      <w:r>
        <w:rPr>
          <w:rFonts w:ascii="宋体" w:hAnsi="宋体"/>
          <w:color w:val="000000"/>
        </w:rPr>
        <w:t>：</w:t>
      </w:r>
      <w:r>
        <w:rPr>
          <w:rFonts w:ascii="楷体" w:eastAsia="楷体" w:hAnsi="楷体" w:cs="楷体"/>
          <w:color w:val="000000"/>
        </w:rPr>
        <w:t>下表为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两圈一区的经济社会发展情况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，下图为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两圈一区建设规划简图</w:t>
      </w:r>
      <w:r>
        <w:rPr>
          <w:rFonts w:ascii="宋体" w:hAnsi="宋体"/>
          <w:color w:val="000000"/>
        </w:rPr>
        <w:t>”</w:t>
      </w:r>
    </w:p>
    <w:tbl>
      <w:tblPr>
        <w:tblW w:w="7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1980"/>
        <w:gridCol w:w="1980"/>
        <w:gridCol w:w="1980"/>
        <w:gridCol w:w="1980"/>
      </w:tblGrid>
      <w:tr w:rsidR="00317A58" w14:paraId="7FAAAEEC" w14:textId="77777777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5A4DB74" w14:textId="77777777" w:rsidR="00317A58" w:rsidRDefault="00954E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名称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083C0CA" w14:textId="77777777" w:rsidR="00317A58" w:rsidRDefault="00954E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中心城市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987E272" w14:textId="77777777" w:rsidR="00317A58" w:rsidRDefault="00954E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中心城市的</w:t>
            </w:r>
            <w:r>
              <w:rPr>
                <w:rFonts w:eastAsia="Times New Roman" w:cs="Times New Roman"/>
                <w:color w:val="000000"/>
              </w:rPr>
              <w:t>GDP</w:t>
            </w:r>
            <w:r>
              <w:rPr>
                <w:rFonts w:ascii="楷体" w:eastAsia="楷体" w:hAnsi="楷体" w:cs="楷体"/>
                <w:color w:val="000000"/>
              </w:rPr>
              <w:t>占比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D06F9D2" w14:textId="77777777" w:rsidR="00317A58" w:rsidRDefault="00954E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城镇化水平</w:t>
            </w:r>
          </w:p>
        </w:tc>
      </w:tr>
      <w:tr w:rsidR="00317A58" w14:paraId="5C666FFA" w14:textId="77777777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205986E" w14:textId="77777777" w:rsidR="00317A58" w:rsidRDefault="00954E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南京都市圈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BB5A82D" w14:textId="77777777" w:rsidR="00317A58" w:rsidRDefault="00954E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南京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301959F" w14:textId="77777777" w:rsidR="00317A58" w:rsidRDefault="00954E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34</w:t>
            </w:r>
            <w:r>
              <w:rPr>
                <w:rFonts w:ascii="楷体" w:eastAsia="楷体" w:hAnsi="楷体" w:cs="楷体"/>
                <w:color w:val="000000"/>
              </w:rPr>
              <w:t>%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2ED5D558" w14:textId="77777777" w:rsidR="00317A58" w:rsidRDefault="00954E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73</w:t>
            </w:r>
            <w:r>
              <w:rPr>
                <w:rFonts w:ascii="楷体" w:eastAsia="楷体" w:hAnsi="楷体" w:cs="楷体"/>
                <w:color w:val="000000"/>
              </w:rPr>
              <w:t>%</w:t>
            </w:r>
          </w:p>
        </w:tc>
      </w:tr>
      <w:tr w:rsidR="00317A58" w14:paraId="49E1C30E" w14:textId="77777777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60E2AFF2" w14:textId="77777777" w:rsidR="00317A58" w:rsidRDefault="00954E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苏锡常都市圈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384C6DB" w14:textId="77777777" w:rsidR="00317A58" w:rsidRDefault="00954E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苏州、无锡、常州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47CDA7A2" w14:textId="77777777" w:rsidR="00317A58" w:rsidRDefault="00954E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100</w:t>
            </w:r>
            <w:r>
              <w:rPr>
                <w:rFonts w:ascii="楷体" w:eastAsia="楷体" w:hAnsi="楷体" w:cs="楷体"/>
                <w:color w:val="000000"/>
              </w:rPr>
              <w:t>%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7A4D73B" w14:textId="77777777" w:rsidR="00317A58" w:rsidRDefault="00954E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82</w:t>
            </w:r>
            <w:r>
              <w:rPr>
                <w:rFonts w:ascii="楷体" w:eastAsia="楷体" w:hAnsi="楷体" w:cs="楷体"/>
                <w:color w:val="000000"/>
              </w:rPr>
              <w:t>%</w:t>
            </w:r>
          </w:p>
        </w:tc>
      </w:tr>
      <w:tr w:rsidR="00317A58" w14:paraId="46682819" w14:textId="77777777"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7504DB01" w14:textId="77777777" w:rsidR="00317A58" w:rsidRDefault="00954E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淮海经济区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652BD48" w14:textId="77777777" w:rsidR="00317A58" w:rsidRDefault="00954E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楷体" w:eastAsia="楷体" w:hAnsi="楷体" w:cs="楷体"/>
                <w:color w:val="000000"/>
              </w:rPr>
              <w:t>徐州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3F34602D" w14:textId="77777777" w:rsidR="00317A58" w:rsidRDefault="00954E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</w:t>
            </w:r>
            <w:r>
              <w:rPr>
                <w:rFonts w:ascii="楷体" w:eastAsia="楷体" w:hAnsi="楷体" w:cs="楷体"/>
                <w:color w:val="000000"/>
              </w:rPr>
              <w:t>%</w:t>
            </w:r>
          </w:p>
        </w:tc>
        <w:tc>
          <w:tcPr>
            <w:tcW w:w="19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14:paraId="575A8333" w14:textId="77777777" w:rsidR="00317A58" w:rsidRDefault="00954E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60</w:t>
            </w:r>
            <w:r>
              <w:rPr>
                <w:rFonts w:ascii="楷体" w:eastAsia="楷体" w:hAnsi="楷体" w:cs="楷体"/>
                <w:color w:val="000000"/>
              </w:rPr>
              <w:t>%</w:t>
            </w:r>
          </w:p>
        </w:tc>
      </w:tr>
    </w:tbl>
    <w:p w14:paraId="24D7287E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0574D16E" wp14:editId="6D931A30">
            <wp:extent cx="2781300" cy="2400300"/>
            <wp:effectExtent l="0" t="0" r="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81300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392258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依据材料，写出两圈一区各自最突出的区位优势。</w:t>
      </w:r>
    </w:p>
    <w:p w14:paraId="43E76921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南京都市圈：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；苏锡常都市圈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；淮海经济区：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1FB8E4D7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依据南京都市圏和苏锡常都市圈</w:t>
      </w:r>
      <w:r>
        <w:rPr>
          <w:rFonts w:ascii="宋体" w:hAnsi="宋体"/>
          <w:noProof/>
          <w:color w:val="000000"/>
        </w:rPr>
        <w:drawing>
          <wp:inline distT="0" distB="0" distL="0" distR="0" wp14:anchorId="3F608A3D" wp14:editId="75A42817">
            <wp:extent cx="133350" cy="177800"/>
            <wp:effectExtent l="0" t="0" r="0" b="0"/>
            <wp:docPr id="100029" name="图片 1000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名称差异概括各自的空间结构，并简述淮海经济区的空间特点。</w:t>
      </w:r>
    </w:p>
    <w:p w14:paraId="132FDB62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为共建卓越的全球城市区域，两圈一区发展可采取的主要措施有：①提升中心城市能级；②打破行政区划壁垒；③提高省会城市首位度；④推动城市间深度融合；⑤提高区域城镇化水平；⑥避免城市间同质化竞争。请根据两圈一区的发展情况，选择各自优先采取的措施（填写上述主要措施对应的序号、每个序号限填一次，每空限填一个）。</w:t>
      </w:r>
    </w:p>
    <w:p w14:paraId="2DFFF8D3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南京都市圈：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、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；</w:t>
      </w:r>
    </w:p>
    <w:p w14:paraId="4FF96F4C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苏锡常都市圈：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、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；</w:t>
      </w:r>
    </w:p>
    <w:p w14:paraId="2F2F9CBD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淮海经济区：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、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509CC83D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阅读材料，回答下列问题。</w:t>
      </w:r>
    </w:p>
    <w:p w14:paraId="29BAB43D" w14:textId="77777777" w:rsidR="00317A58" w:rsidRDefault="00954E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材料一</w:t>
      </w:r>
      <w:r>
        <w:rPr>
          <w:rFonts w:ascii="宋体" w:hAnsi="宋体"/>
          <w:color w:val="000000"/>
        </w:rPr>
        <w:t>：</w:t>
      </w:r>
      <w:r>
        <w:rPr>
          <w:rFonts w:ascii="楷体" w:eastAsia="楷体" w:hAnsi="楷体" w:cs="楷体"/>
          <w:color w:val="000000"/>
        </w:rPr>
        <w:t>我国的大兴安岭与新西兰的南阿尔卑斯山，走向相似，均位于中纬度地区，下图为</w:t>
      </w:r>
      <w:r>
        <w:rPr>
          <w:rFonts w:ascii="宋体" w:hAnsi="宋体"/>
          <w:color w:val="000000"/>
        </w:rPr>
        <w:t>“</w:t>
      </w:r>
      <w:r>
        <w:rPr>
          <w:rFonts w:ascii="楷体" w:eastAsia="楷体" w:hAnsi="楷体" w:cs="楷体"/>
          <w:color w:val="000000"/>
        </w:rPr>
        <w:t>大兴安冷和南阿尔卑斯山的位置及地形示意图</w:t>
      </w:r>
      <w:r>
        <w:rPr>
          <w:rFonts w:ascii="宋体" w:hAnsi="宋体"/>
          <w:color w:val="000000"/>
        </w:rPr>
        <w:t>”</w:t>
      </w:r>
      <w:r>
        <w:rPr>
          <w:rFonts w:ascii="楷体" w:eastAsia="楷体" w:hAnsi="楷体" w:cs="楷体"/>
          <w:color w:val="000000"/>
        </w:rPr>
        <w:t>。</w:t>
      </w:r>
    </w:p>
    <w:p w14:paraId="7AA14719" w14:textId="77777777" w:rsidR="00317A58" w:rsidRDefault="00954E93">
      <w:pPr>
        <w:spacing w:line="360" w:lineRule="auto"/>
        <w:ind w:firstLine="420"/>
        <w:jc w:val="left"/>
        <w:textAlignment w:val="center"/>
        <w:rPr>
          <w:color w:val="000000"/>
        </w:rPr>
      </w:pPr>
      <w:r>
        <w:rPr>
          <w:rFonts w:ascii="楷体" w:eastAsia="楷体" w:hAnsi="楷体" w:cs="楷体"/>
          <w:color w:val="000000"/>
        </w:rPr>
        <w:t>材料二</w:t>
      </w:r>
      <w:r>
        <w:rPr>
          <w:rFonts w:ascii="宋体" w:hAnsi="宋体"/>
          <w:color w:val="000000"/>
        </w:rPr>
        <w:t>：</w:t>
      </w:r>
      <w:r>
        <w:rPr>
          <w:rFonts w:ascii="楷体" w:eastAsia="楷体" w:hAnsi="楷体" w:cs="楷体"/>
          <w:color w:val="000000"/>
        </w:rPr>
        <w:t>两列山脉东倒均为重要的农业区，农产品商品率都较高，但面向的市场不同。新西兰畜牧业发达，是著名乳畜产品生产国，粮食自给率约</w:t>
      </w:r>
      <w:r>
        <w:rPr>
          <w:rFonts w:eastAsia="Times New Roman" w:cs="Times New Roman"/>
          <w:color w:val="000000"/>
        </w:rPr>
        <w:t>60</w:t>
      </w:r>
      <w:r>
        <w:rPr>
          <w:rFonts w:ascii="楷体" w:eastAsia="楷体" w:hAnsi="楷体" w:cs="楷体"/>
          <w:color w:val="000000"/>
        </w:rPr>
        <w:t>%。</w:t>
      </w:r>
    </w:p>
    <w:p w14:paraId="18317A1A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0" distR="0" wp14:anchorId="35A2E3B5" wp14:editId="45065937">
            <wp:extent cx="4295775" cy="1952625"/>
            <wp:effectExtent l="0" t="0" r="0" b="0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195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260034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1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简述两列山脉东侧地区的气候特征对当地农业活动的不同影响。</w:t>
      </w:r>
    </w:p>
    <w:p w14:paraId="75E28CAD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2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两列山脉东侧地区农产品商品率都较高，分析其形成条件</w:t>
      </w:r>
      <w:r>
        <w:rPr>
          <w:rFonts w:ascii="宋体" w:hAnsi="宋体"/>
          <w:noProof/>
          <w:color w:val="000000"/>
        </w:rPr>
        <w:drawing>
          <wp:inline distT="0" distB="0" distL="0" distR="0" wp14:anchorId="1F99713E" wp14:editId="5C9A1E54">
            <wp:extent cx="133350" cy="177800"/>
            <wp:effectExtent l="0" t="0" r="0" b="0"/>
            <wp:docPr id="100027" name="图片 1000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异同。</w:t>
      </w:r>
    </w:p>
    <w:p w14:paraId="0F3BB51F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相同点：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；不同点：</w:t>
      </w:r>
      <w:r>
        <w:rPr>
          <w:color w:val="000000"/>
        </w:rPr>
        <w:t>____</w:t>
      </w:r>
      <w:r>
        <w:rPr>
          <w:rFonts w:ascii="宋体" w:hAnsi="宋体"/>
          <w:color w:val="000000"/>
        </w:rPr>
        <w:t>。</w:t>
      </w:r>
    </w:p>
    <w:p w14:paraId="00A02BE0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</w:t>
      </w:r>
      <w:r>
        <w:rPr>
          <w:color w:val="000000"/>
        </w:rPr>
        <w:t>3</w:t>
      </w:r>
      <w:r>
        <w:rPr>
          <w:color w:val="000000"/>
        </w:rPr>
        <w:t>）</w:t>
      </w:r>
      <w:r>
        <w:rPr>
          <w:rFonts w:ascii="宋体" w:hAnsi="宋体"/>
          <w:color w:val="000000"/>
        </w:rPr>
        <w:t>针对新西兰粮食的自给现状，有两种观点：</w:t>
      </w:r>
    </w:p>
    <w:p w14:paraId="1BBFDA0A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观点一认为，在经济全球化背景下，继续通过进口粮食以满足国内需求；</w:t>
      </w:r>
    </w:p>
    <w:p w14:paraId="2A1C64D0" w14:textId="77777777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观点二认为，为保障粮食安全，扩大本国粮食生产以满足国内需求。</w:t>
      </w:r>
    </w:p>
    <w:p w14:paraId="1E5440DD" w14:textId="50D0CFCB" w:rsidR="00317A58" w:rsidRDefault="00954E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请选择一个你支持的观点，说明理由。</w:t>
      </w:r>
    </w:p>
    <w:sectPr w:rsidR="00317A58" w:rsidSect="00C321EB"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7C319" w14:textId="77777777" w:rsidR="00954E93" w:rsidRDefault="00954E93">
      <w:r>
        <w:separator/>
      </w:r>
    </w:p>
  </w:endnote>
  <w:endnote w:type="continuationSeparator" w:id="0">
    <w:p w14:paraId="04D34745" w14:textId="77777777" w:rsidR="00954E93" w:rsidRDefault="00954E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DCE7AB" w14:textId="77777777" w:rsidR="00954E93" w:rsidRDefault="00954E93">
      <w:r>
        <w:separator/>
      </w:r>
    </w:p>
  </w:footnote>
  <w:footnote w:type="continuationSeparator" w:id="0">
    <w:p w14:paraId="429D56E6" w14:textId="77777777" w:rsidR="00954E93" w:rsidRDefault="00954E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F473A"/>
    <w:multiLevelType w:val="hybridMultilevel"/>
    <w:tmpl w:val="8312AF28"/>
    <w:lvl w:ilvl="0" w:tplc="010EB08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C82A6D8A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C632124C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688C5C08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60260D2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BBAEA8CC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4BEAE22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690EC89A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6058A622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5992137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A4E37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17A58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11FA0"/>
    <w:rsid w:val="00954E93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76F46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3"/>
    </o:shapelayout>
  </w:shapeDefaults>
  <w:decimalSymbol w:val="."/>
  <w:listSeparator w:val=","/>
  <w14:docId w14:val="3FFCBF35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wmf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ntTable" Target="fontTable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1673</Words>
  <Characters>1825</Characters>
  <Application>Microsoft Office Word</Application>
  <DocSecurity>0</DocSecurity>
  <Lines>91</Lines>
  <Paragraphs>129</Paragraphs>
  <ScaleCrop>false</ScaleCrop>
  <Manager/>
  <Company/>
  <LinksUpToDate>false</LinksUpToDate>
  <CharactersWithSpaces>3369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2025-06-17T14:10:00Z</dcterms:created>
  <dcterms:modified xsi:type="dcterms:W3CDTF">2025-06-17T09:12:00Z</dcterms:modified>
</cp:coreProperties>
</file>